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附件一：</w:t>
      </w: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受邀聘承办活动民建企业在此次活动中权利责任</w:t>
      </w: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一、享受权益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以民建安徽企业形象代表身份，接待民建中央副主席吴晓青、民建中央宣传部领导到企业视察；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列入民建安徽省委2018年会员及会员企业宣传重点；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研讨会前接受省内主流媒体集中采访；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研讨会现场企业形象宣传；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研讨会过程中安排企业及其产品、服务视频宣传时段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由民建中央正式下文、活动现场颁发“特殊贡献奖”奖版和证书。民建中央及相关媒体点名报道。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承担责任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承担活动评审费用、论文奖金、评审及颁奖就餐费用15万元。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附件二：</w:t>
      </w:r>
    </w:p>
    <w:p>
      <w:pPr>
        <w:ind w:firstLine="964" w:firstLineChars="300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活动流程草案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</w:p>
    <w:p>
      <w:pPr>
        <w:jc w:val="right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201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年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A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日</w:t>
      </w:r>
    </w:p>
    <w:tbl>
      <w:tblPr>
        <w:tblStyle w:val="7"/>
        <w:tblW w:w="8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66"/>
        <w:gridCol w:w="3259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议程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上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9:00-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259" w:type="dxa"/>
            <w:vAlign w:val="top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安徽省委（统战部）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领导致欢迎辞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李修松代表民建安徽省委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领导致辞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中科大统战部领导讲话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安徽大学统战部领导讲话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民建中央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副主席吴晓青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讲话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张皎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宣读表彰决定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颁奖</w:t>
            </w:r>
          </w:p>
        </w:tc>
        <w:tc>
          <w:tcPr>
            <w:tcW w:w="220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主持：民建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安徽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省委会副主委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5-10: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259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合影</w:t>
            </w:r>
          </w:p>
        </w:tc>
        <w:tc>
          <w:tcPr>
            <w:tcW w:w="2200" w:type="dxa"/>
            <w:vAlign w:val="top"/>
          </w:tcPr>
          <w:p>
            <w:pPr>
              <w:jc w:val="left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参会领导和优秀组织代表、获奖作者合影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32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10: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0-12:00</w:t>
            </w:r>
          </w:p>
        </w:tc>
        <w:tc>
          <w:tcPr>
            <w:tcW w:w="3259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获奖代表交流演讲</w:t>
            </w:r>
          </w:p>
        </w:tc>
        <w:tc>
          <w:tcPr>
            <w:tcW w:w="220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下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14:30-17:30</w:t>
            </w:r>
          </w:p>
        </w:tc>
        <w:tc>
          <w:tcPr>
            <w:tcW w:w="3259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参观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中科大“量子”实验室；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承办活动会员企业</w:t>
            </w:r>
          </w:p>
        </w:tc>
        <w:tc>
          <w:tcPr>
            <w:tcW w:w="220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附件三：</w:t>
      </w:r>
    </w:p>
    <w:p>
      <w:pPr>
        <w:ind w:firstLine="964" w:firstLineChars="300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2017年广东第二届活动情况</w:t>
      </w:r>
    </w:p>
    <w:p>
      <w:pPr>
        <w:ind w:firstLine="964" w:firstLineChars="300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新闻报道</w:t>
      </w:r>
    </w:p>
    <w:p>
      <w:pPr>
        <w:rPr>
          <w:rFonts w:hint="eastAsia"/>
        </w:rPr>
      </w:pPr>
      <w:r>
        <w:rPr>
          <w:rFonts w:hint="eastAsia"/>
        </w:rPr>
        <w:t>第二届“从中华优秀传统文化基因中发掘传承创新工匠精神”课题研讨活动在汕头举行</w:t>
      </w:r>
    </w:p>
    <w:p>
      <w:pPr>
        <w:rPr>
          <w:rFonts w:hint="eastAsia"/>
        </w:rPr>
      </w:pPr>
      <w:r>
        <w:rPr>
          <w:rFonts w:hint="eastAsia"/>
        </w:rPr>
        <w:t xml:space="preserve">作者：于国栋 　　信息来源：民建中央网站 　　发布时间： 2017年11月21日 　 </w:t>
      </w:r>
      <w:r>
        <w:rPr>
          <w:rFonts w:hint="eastAsia"/>
        </w:rPr>
        <w:drawing>
          <wp:inline distT="0" distB="0" distL="114300" distR="114300">
            <wp:extent cx="3577590" cy="2382520"/>
            <wp:effectExtent l="0" t="0" r="3810" b="10160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3497580" cy="2332990"/>
            <wp:effectExtent l="0" t="0" r="7620" b="1397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3726180" cy="2485390"/>
            <wp:effectExtent l="0" t="0" r="7620" b="1397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11月21日，由民建中央、暨南大学、民建广东省委、广东中华职业教育社联合主办，民建汕头市委承办，广东林科种苗有限公司协办的第二届“从中华优秀传统文化基因中发掘传承创新工匠精神”课题研讨活动在广东省汕头市召开交流研讨会，重点探讨发掘、传承并在具体实践中创新工匠精神这一重大课题，民建中央宣传部部长张皎出席并受宋海副主席委托向会议致辞。</w:t>
      </w:r>
    </w:p>
    <w:p>
      <w:pPr>
        <w:rPr>
          <w:rFonts w:hint="eastAsia"/>
        </w:rPr>
      </w:pPr>
      <w:r>
        <w:rPr>
          <w:rFonts w:hint="eastAsia"/>
        </w:rPr>
        <w:t>　　张皎指出，随着中国特色社会主义进入新时代，全社会正在形成一个强烈共识，这就是在中国必须加强、加快“工匠精神”的培育。培育和弘扬“工匠精神”，必须营造良好的社会氛围，必须健全完善职业培养机制，必须在企业文化建设中融入以“工匠精神”为核心的工匠文化，必须建立科学有效的激励保障制度。“工匠精神”的传承和发展契合了新时代中国特色社会主义发展的需要，希望广大民建会员共同努力，用“工匠精神”涵养时代气质，让“工匠精神”在神州大地不断发扬光大。</w:t>
      </w:r>
    </w:p>
    <w:p>
      <w:pPr>
        <w:rPr>
          <w:rFonts w:hint="eastAsia"/>
        </w:rPr>
      </w:pPr>
      <w:r>
        <w:rPr>
          <w:rFonts w:hint="eastAsia"/>
        </w:rPr>
        <w:t>　　民建广东省委副主委林勇主持了研讨会，汕头市政协副主席、民建汕头市委主委刘辉致欢迎辞，暨南大学党委统战部部长庄汉文宣读了民建中央办公厅《关于对第二届“从中华优秀传统文化基因中发掘传承创新工匠精神”课题研讨活动进行表彰的通知》。广东中华职业教育社副主任王乐夫、汕头市委统战部副部长黄松光、民建广东省委秘书长欧壮喆以及评审专家代表赵维江、周永卫等参加了研讨会。研讨会上，对获奖作者代表进行了颁奖，其中８位获奖论文作者分享了自己的研究成果，国内专家学者、民建会员近100人参加了研讨会。</w:t>
      </w:r>
    </w:p>
    <w:p>
      <w:pPr>
        <w:ind w:firstLine="420"/>
        <w:rPr>
          <w:rFonts w:hint="eastAsia"/>
        </w:rPr>
      </w:pPr>
      <w:r>
        <w:rPr>
          <w:rFonts w:hint="eastAsia"/>
        </w:rPr>
        <w:t>为大力弘扬中华优秀传统文化，发掘、传承并在具体实践中创新工匠精神，今年4月，民建中央印发通知在全国范围内开展第二届“从中华优秀传统文化基因中发掘传承创新工匠精神”课题研讨活动，共征集到课题成果141篇。经评审，共有35篇被评为2017年度优秀成果，其中一等奖5篇，二等奖10篇，三等奖20篇；7个民建省级组织获优秀组织奖；广东林科种苗有限公司获特别贡献奖。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2017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“从中华优秀传统文化基因中发掘传承工匠精神”课题研讨活动第二次筹备会议纪要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2017年7月25-27日，民建中央宣传部部长张皎一行到广东考察指导“从中华优秀传统文化基因中发掘传承工匠精神”课题研讨活动（以下简称“研讨活动”）</w:t>
      </w:r>
      <w:r>
        <w:rPr>
          <w:rFonts w:hint="eastAsia"/>
          <w:lang w:eastAsia="zh-CN"/>
        </w:rPr>
        <w:t>的相关</w:t>
      </w:r>
      <w:r>
        <w:rPr>
          <w:rFonts w:hint="eastAsia"/>
        </w:rPr>
        <w:t>筹备工作，并先后考察了举办研讨活动的会场、汕头海湾新区、宝奥国际玩具城、广东潮宏基实业股份有限公司、宜华木业博物馆、广东康辉集团有限公司</w:t>
      </w:r>
      <w:r>
        <w:rPr>
          <w:rFonts w:hint="eastAsia"/>
          <w:lang w:eastAsia="zh-CN"/>
        </w:rPr>
        <w:t>等</w:t>
      </w:r>
      <w:r>
        <w:rPr>
          <w:rFonts w:hint="eastAsia"/>
        </w:rPr>
        <w:t>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26日，民建中央考察组一行以及民建广东省委会、汕头市委会有关人员在汕头召开第二次筹备会议。与会人员就研讨活动的细节问题展开了深入交流，研讨活动的方案得到进一步明确</w:t>
      </w:r>
      <w:r>
        <w:rPr>
          <w:rFonts w:hint="eastAsia"/>
          <w:lang w:eastAsia="zh-CN"/>
        </w:rPr>
        <w:t>。</w:t>
      </w:r>
      <w:r>
        <w:rPr>
          <w:rFonts w:hint="eastAsia"/>
        </w:rPr>
        <w:t>会议纪要如下：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一、研讨活动地点和日期：</w:t>
      </w:r>
    </w:p>
    <w:p>
      <w:pPr>
        <w:rPr>
          <w:rFonts w:hint="eastAsia"/>
        </w:rPr>
      </w:pPr>
      <w:r>
        <w:rPr>
          <w:rFonts w:hint="eastAsia"/>
        </w:rPr>
        <w:t>（一）地点定于汕头君华海逸酒店二楼会议厅。</w:t>
      </w:r>
    </w:p>
    <w:p>
      <w:pPr>
        <w:rPr>
          <w:rFonts w:hint="eastAsia"/>
        </w:rPr>
      </w:pPr>
      <w:r>
        <w:rPr>
          <w:rFonts w:hint="eastAsia"/>
        </w:rPr>
        <w:t>（二）时间初定于11月21日。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二、评审会议：</w:t>
      </w:r>
    </w:p>
    <w:p>
      <w:pPr>
        <w:rPr>
          <w:rFonts w:hint="eastAsia"/>
        </w:rPr>
      </w:pPr>
      <w:r>
        <w:rPr>
          <w:rFonts w:hint="eastAsia"/>
        </w:rPr>
        <w:t>（一）时间定于9月</w:t>
      </w:r>
      <w:r>
        <w:rPr>
          <w:rFonts w:hint="eastAsia"/>
          <w:lang w:val="en-US" w:eastAsia="zh-CN"/>
        </w:rPr>
        <w:t>29、</w:t>
      </w:r>
      <w:r>
        <w:rPr>
          <w:rFonts w:hint="eastAsia"/>
        </w:rPr>
        <w:t>30日，地点暂定河源。</w:t>
      </w:r>
    </w:p>
    <w:p>
      <w:pPr>
        <w:rPr>
          <w:rFonts w:hint="eastAsia"/>
        </w:rPr>
      </w:pPr>
      <w:r>
        <w:rPr>
          <w:rFonts w:hint="eastAsia"/>
        </w:rPr>
        <w:t>（二）由</w:t>
      </w:r>
      <w:r>
        <w:rPr>
          <w:rFonts w:hint="eastAsia"/>
          <w:lang w:eastAsia="zh-CN"/>
        </w:rPr>
        <w:t>民建广东</w:t>
      </w:r>
      <w:r>
        <w:rPr>
          <w:rFonts w:hint="eastAsia"/>
        </w:rPr>
        <w:t>省委会负责选定5至7名评委。</w:t>
      </w:r>
    </w:p>
    <w:p>
      <w:pPr>
        <w:rPr>
          <w:rFonts w:hint="eastAsia"/>
        </w:rPr>
      </w:pPr>
      <w:r>
        <w:rPr>
          <w:rFonts w:hint="eastAsia"/>
        </w:rPr>
        <w:t>（三）9月10日</w:t>
      </w:r>
      <w:r>
        <w:rPr>
          <w:rFonts w:hint="eastAsia"/>
          <w:lang w:eastAsia="zh-CN"/>
        </w:rPr>
        <w:t>论文报送结止，</w:t>
      </w:r>
      <w:r>
        <w:rPr>
          <w:rFonts w:hint="eastAsia"/>
        </w:rPr>
        <w:t>将所有征集到的论文</w:t>
      </w:r>
      <w:r>
        <w:rPr>
          <w:rFonts w:hint="eastAsia"/>
          <w:lang w:eastAsia="zh-CN"/>
        </w:rPr>
        <w:t>网络</w:t>
      </w:r>
      <w:r>
        <w:rPr>
          <w:rFonts w:hint="eastAsia"/>
        </w:rPr>
        <w:t>发给评委审阅。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三、研讨活动的</w:t>
      </w:r>
      <w:r>
        <w:rPr>
          <w:rFonts w:hint="eastAsia"/>
          <w:b/>
          <w:bCs/>
          <w:lang w:eastAsia="zh-CN"/>
        </w:rPr>
        <w:t>具体</w:t>
      </w:r>
      <w:r>
        <w:rPr>
          <w:rFonts w:hint="eastAsia"/>
          <w:b/>
          <w:bCs/>
        </w:rPr>
        <w:t>安排：</w:t>
      </w:r>
    </w:p>
    <w:p>
      <w:pPr>
        <w:rPr>
          <w:rFonts w:hint="eastAsia"/>
        </w:rPr>
      </w:pPr>
      <w:r>
        <w:rPr>
          <w:rFonts w:hint="eastAsia"/>
        </w:rPr>
        <w:t>（一）开幕式：</w:t>
      </w:r>
      <w:r>
        <w:rPr>
          <w:rFonts w:hint="eastAsia"/>
          <w:lang w:val="en-US" w:eastAsia="zh-CN"/>
        </w:rPr>
        <w:t>21日上午九点开始，</w:t>
      </w:r>
      <w:r>
        <w:rPr>
          <w:rFonts w:hint="eastAsia"/>
        </w:rPr>
        <w:t>会中央领导</w:t>
      </w:r>
      <w:r>
        <w:rPr>
          <w:rFonts w:hint="eastAsia"/>
          <w:lang w:eastAsia="zh-CN"/>
        </w:rPr>
        <w:t>致辞</w:t>
      </w:r>
      <w:r>
        <w:rPr>
          <w:rFonts w:hint="eastAsia"/>
        </w:rPr>
        <w:t>、汕头市领导讲话、</w:t>
      </w:r>
      <w:r>
        <w:rPr>
          <w:rFonts w:hint="eastAsia"/>
          <w:lang w:eastAsia="zh-CN"/>
        </w:rPr>
        <w:t>民建广东</w:t>
      </w:r>
      <w:r>
        <w:rPr>
          <w:rFonts w:hint="eastAsia"/>
        </w:rPr>
        <w:t>省委会领导</w:t>
      </w:r>
      <w:r>
        <w:rPr>
          <w:rFonts w:hint="eastAsia"/>
          <w:lang w:eastAsia="zh-CN"/>
        </w:rPr>
        <w:t>宣布</w:t>
      </w:r>
      <w:r>
        <w:rPr>
          <w:rFonts w:hint="eastAsia"/>
        </w:rPr>
        <w:t>表彰</w:t>
      </w:r>
      <w:r>
        <w:rPr>
          <w:rFonts w:hint="eastAsia"/>
          <w:lang w:eastAsia="zh-CN"/>
        </w:rPr>
        <w:t>名单，表彰获奖</w:t>
      </w:r>
      <w:r>
        <w:rPr>
          <w:rFonts w:hint="eastAsia"/>
        </w:rPr>
        <w:t>论文作者及研讨活动支持单位。</w:t>
      </w:r>
    </w:p>
    <w:p>
      <w:pPr>
        <w:rPr>
          <w:rFonts w:hint="eastAsia"/>
        </w:rPr>
      </w:pPr>
      <w:r>
        <w:rPr>
          <w:rFonts w:hint="eastAsia"/>
        </w:rPr>
        <w:t>颁奖结束后，由</w:t>
      </w:r>
      <w:r>
        <w:rPr>
          <w:rFonts w:hint="eastAsia"/>
          <w:lang w:eastAsia="zh-CN"/>
        </w:rPr>
        <w:t>民建</w:t>
      </w:r>
      <w:r>
        <w:rPr>
          <w:rFonts w:hint="eastAsia"/>
        </w:rPr>
        <w:t>汕头市委会</w:t>
      </w:r>
      <w:r>
        <w:rPr>
          <w:rFonts w:hint="eastAsia"/>
          <w:lang w:eastAsia="zh-CN"/>
        </w:rPr>
        <w:t>协助</w:t>
      </w:r>
      <w:r>
        <w:rPr>
          <w:rFonts w:hint="eastAsia"/>
        </w:rPr>
        <w:t>安排合影。</w:t>
      </w:r>
    </w:p>
    <w:p>
      <w:pPr>
        <w:rPr>
          <w:rFonts w:hint="eastAsia"/>
        </w:rPr>
      </w:pPr>
      <w:r>
        <w:rPr>
          <w:rFonts w:hint="eastAsia"/>
        </w:rPr>
        <w:t>（二）学术交流：总时长约150分钟，由一、二等奖获奖作者上台</w:t>
      </w:r>
      <w:r>
        <w:rPr>
          <w:rFonts w:hint="eastAsia"/>
          <w:lang w:eastAsia="zh-CN"/>
        </w:rPr>
        <w:t>分享。其中</w:t>
      </w:r>
      <w:r>
        <w:rPr>
          <w:rFonts w:hint="eastAsia"/>
        </w:rPr>
        <w:t>，一等奖作者每人发言10分钟、评委点评5分钟</w:t>
      </w:r>
      <w:r>
        <w:rPr>
          <w:rFonts w:hint="eastAsia"/>
          <w:lang w:eastAsia="zh-CN"/>
        </w:rPr>
        <w:t>；</w:t>
      </w:r>
      <w:r>
        <w:rPr>
          <w:rFonts w:hint="eastAsia"/>
        </w:rPr>
        <w:t>二等奖作者每人发言5-8分钟，评委简单点评。</w:t>
      </w:r>
      <w:r>
        <w:rPr>
          <w:rFonts w:hint="eastAsia"/>
          <w:lang w:eastAsia="zh-CN"/>
        </w:rPr>
        <w:t>最后，由张皎部长作综合评述。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（三）奖项设置：研讨活动共设一等奖5名、二等奖10名、三等奖25名。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（四）集体参观：21日下午，组织与会人员集中参观</w:t>
      </w:r>
      <w:r>
        <w:rPr>
          <w:rFonts w:hint="eastAsia"/>
        </w:rPr>
        <w:t>广东潮宏基实业股份有限公司、宜华木业博物馆</w:t>
      </w:r>
      <w:r>
        <w:rPr>
          <w:rFonts w:hint="eastAsia"/>
          <w:lang w:eastAsia="zh-CN"/>
        </w:rPr>
        <w:t>等与工匠精神实</w:t>
      </w:r>
      <w:r>
        <w:rPr>
          <w:rFonts w:hint="eastAsia"/>
          <w:lang w:val="en-US" w:eastAsia="zh-CN"/>
        </w:rPr>
        <w:t>践相关的企业。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eastAsia="zh-CN"/>
        </w:rPr>
        <w:t>五</w:t>
      </w:r>
      <w:r>
        <w:rPr>
          <w:rFonts w:hint="eastAsia"/>
        </w:rPr>
        <w:t>）成果转化：研讨活动的获奖作品集辑出版。作品集的排版、校对、封面</w:t>
      </w:r>
      <w:r>
        <w:rPr>
          <w:rFonts w:hint="eastAsia"/>
          <w:lang w:eastAsia="zh-CN"/>
        </w:rPr>
        <w:t>设计等</w:t>
      </w:r>
      <w:r>
        <w:rPr>
          <w:rFonts w:hint="eastAsia"/>
        </w:rPr>
        <w:t>由</w:t>
      </w:r>
      <w:r>
        <w:rPr>
          <w:rFonts w:hint="eastAsia"/>
          <w:lang w:eastAsia="zh-CN"/>
        </w:rPr>
        <w:t>民建广东</w:t>
      </w:r>
      <w:r>
        <w:rPr>
          <w:rFonts w:hint="eastAsia"/>
        </w:rPr>
        <w:t>省委会委托高校完成，印刷出版由会中央</w:t>
      </w:r>
      <w:r>
        <w:rPr>
          <w:rFonts w:hint="eastAsia"/>
          <w:lang w:eastAsia="zh-CN"/>
        </w:rPr>
        <w:t>出版；建议会前完成出版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eastAsia="zh-CN"/>
        </w:rPr>
        <w:t>六</w:t>
      </w:r>
      <w:r>
        <w:rPr>
          <w:rFonts w:hint="eastAsia"/>
        </w:rPr>
        <w:t>）媒体宣传：会中央和地方组织各自联系同级媒体宣传报道研讨活动。</w:t>
      </w:r>
    </w:p>
    <w:p>
      <w:pPr>
        <w:rPr>
          <w:rFonts w:hint="eastAsia"/>
        </w:rPr>
      </w:pPr>
      <w:r>
        <w:rPr>
          <w:rFonts w:hint="eastAsia"/>
        </w:rPr>
        <w:t>四、其他事项：</w:t>
      </w:r>
    </w:p>
    <w:p>
      <w:pPr>
        <w:rPr>
          <w:rFonts w:hint="eastAsia"/>
        </w:rPr>
      </w:pPr>
      <w:r>
        <w:rPr>
          <w:rFonts w:hint="eastAsia"/>
        </w:rPr>
        <w:t>（一）费用：会议室4850元/半天，房间380元/天，横幅300元，午餐80元/人，晚餐100元/人。奖金总额范围：25000-45000元。</w:t>
      </w:r>
    </w:p>
    <w:p>
      <w:pPr>
        <w:rPr>
          <w:rFonts w:hint="eastAsia"/>
        </w:rPr>
      </w:pPr>
      <w:r>
        <w:rPr>
          <w:rFonts w:hint="eastAsia"/>
        </w:rPr>
        <w:t>（二）参会人员：</w:t>
      </w:r>
      <w:r>
        <w:rPr>
          <w:rFonts w:hint="eastAsia"/>
          <w:lang w:eastAsia="zh-CN"/>
        </w:rPr>
        <w:t>会中央领导，获奖作者，评委，民建各省级组织宣传部门负责人；由民建</w:t>
      </w:r>
      <w:r>
        <w:rPr>
          <w:rFonts w:hint="eastAsia"/>
        </w:rPr>
        <w:t>汕头市委会组织当地会员参会，确保会场总出席人数达到约100人。</w:t>
      </w:r>
    </w:p>
    <w:p>
      <w:pPr>
        <w:rPr>
          <w:rFonts w:hint="eastAsia"/>
        </w:rPr>
      </w:pPr>
      <w:r>
        <w:rPr>
          <w:rFonts w:hint="eastAsia"/>
        </w:rPr>
        <w:t>（三）待定事项：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1、由民建广东省委会尽快落实与知名大学联名授</w:t>
      </w:r>
      <w:r>
        <w:rPr>
          <w:rFonts w:hint="eastAsia"/>
        </w:rPr>
        <w:t>奖</w:t>
      </w:r>
      <w:r>
        <w:rPr>
          <w:rFonts w:hint="eastAsia"/>
          <w:lang w:eastAsia="zh-CN"/>
        </w:rPr>
        <w:t>事宜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2、落实</w:t>
      </w:r>
      <w:r>
        <w:rPr>
          <w:rFonts w:hint="eastAsia"/>
        </w:rPr>
        <w:t>支持单位的</w:t>
      </w:r>
      <w:r>
        <w:rPr>
          <w:rFonts w:hint="eastAsia"/>
          <w:lang w:eastAsia="zh-CN"/>
        </w:rPr>
        <w:t>授</w:t>
      </w:r>
      <w:r>
        <w:rPr>
          <w:rFonts w:hint="eastAsia"/>
        </w:rPr>
        <w:t>奖名称。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3、由</w:t>
      </w:r>
      <w:r>
        <w:rPr>
          <w:rFonts w:hint="eastAsia"/>
        </w:rPr>
        <w:t>广东林科种苗有限公司</w:t>
      </w:r>
      <w:r>
        <w:rPr>
          <w:rFonts w:hint="eastAsia"/>
          <w:lang w:val="en-US" w:eastAsia="zh-CN"/>
        </w:rPr>
        <w:t>和汕头君华海逸酒店共同确定启动垫付事宜,民建汕头市委会协助联系。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出席</w:t>
      </w:r>
      <w:r>
        <w:rPr>
          <w:rFonts w:hint="eastAsia"/>
          <w:lang w:eastAsia="zh-CN"/>
        </w:rPr>
        <w:t>人员</w:t>
      </w:r>
      <w:r>
        <w:rPr>
          <w:rFonts w:hint="eastAsia"/>
        </w:rPr>
        <w:t>：</w:t>
      </w:r>
    </w:p>
    <w:p>
      <w:pPr>
        <w:rPr>
          <w:rFonts w:hint="eastAsia"/>
        </w:rPr>
      </w:pPr>
      <w:r>
        <w:rPr>
          <w:rFonts w:hint="eastAsia"/>
        </w:rPr>
        <w:t>　　张  皎　　民建中央宣传部部长</w:t>
      </w:r>
    </w:p>
    <w:p>
      <w:pPr>
        <w:rPr>
          <w:rFonts w:hint="eastAsia"/>
        </w:rPr>
      </w:pPr>
      <w:r>
        <w:rPr>
          <w:rFonts w:hint="eastAsia"/>
        </w:rPr>
        <w:t>　　于国栋　　民建中央宣传部宣传处调研员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赵维江  　民建广东省文化教育工作委员会主任，暨南大学中文系教授、博士生导师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黄泽宏  　民建广东省文化教育工作委员会副主任，广东林科种苗有限公司董事长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李  嘉  民建广东省委</w:t>
      </w:r>
      <w:r>
        <w:rPr>
          <w:rFonts w:hint="eastAsia"/>
          <w:lang w:eastAsia="zh-CN"/>
        </w:rPr>
        <w:t>会</w:t>
      </w:r>
      <w:r>
        <w:rPr>
          <w:rFonts w:hint="eastAsia"/>
        </w:rPr>
        <w:t>宣传处副处长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黄晓生  民建汕头市委会副主</w:t>
      </w:r>
    </w:p>
    <w:p>
      <w:pPr>
        <w:rPr>
          <w:rFonts w:hint="eastAsia"/>
        </w:rPr>
      </w:pPr>
      <w:r>
        <w:rPr>
          <w:rFonts w:hint="eastAsia"/>
        </w:rPr>
        <w:t>　　记录人：石  潇</w:t>
      </w: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964" w:firstLineChars="3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第二届“从中华优秀传统文化基因中发掘传承工匠精神”课题研讨活动</w:t>
      </w:r>
      <w:r>
        <w:rPr>
          <w:rFonts w:hint="eastAsia"/>
          <w:b/>
          <w:bCs/>
          <w:sz w:val="32"/>
          <w:szCs w:val="40"/>
          <w:lang w:eastAsia="zh-CN"/>
        </w:rPr>
        <w:t>第三次筹备会议</w:t>
      </w:r>
      <w:r>
        <w:rPr>
          <w:rFonts w:hint="eastAsia"/>
          <w:b/>
          <w:bCs/>
          <w:sz w:val="32"/>
          <w:szCs w:val="40"/>
        </w:rPr>
        <w:t>会议</w:t>
      </w:r>
      <w:r>
        <w:rPr>
          <w:b/>
          <w:bCs/>
          <w:sz w:val="32"/>
          <w:szCs w:val="40"/>
        </w:rPr>
        <w:t>纪要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日，民建中央宣传部部长</w:t>
      </w:r>
      <w:r>
        <w:rPr>
          <w:rFonts w:hint="eastAsia"/>
          <w:lang w:eastAsia="zh-CN"/>
        </w:rPr>
        <w:t>张皎</w:t>
      </w:r>
      <w:r>
        <w:rPr>
          <w:rFonts w:hint="eastAsia"/>
        </w:rPr>
        <w:t>一行</w:t>
      </w:r>
      <w:r>
        <w:rPr>
          <w:rFonts w:hint="eastAsia"/>
          <w:lang w:eastAsia="zh-CN"/>
        </w:rPr>
        <w:t>来粤指导第二届“从中华优秀传统文化基因中发掘传承工匠精神”课题研讨活动（以下简称“研讨活动”）筹备</w:t>
      </w:r>
      <w:r>
        <w:rPr>
          <w:rFonts w:hint="eastAsia"/>
        </w:rPr>
        <w:t>工作，并</w:t>
      </w:r>
      <w:r>
        <w:rPr>
          <w:rFonts w:hint="eastAsia"/>
          <w:lang w:eastAsia="zh-CN"/>
        </w:rPr>
        <w:t>先后在广东林科种苗有限公司、暨南大学分两节</w:t>
      </w:r>
      <w:r>
        <w:rPr>
          <w:rFonts w:hint="eastAsia"/>
        </w:rPr>
        <w:t>召开</w:t>
      </w:r>
      <w:r>
        <w:rPr>
          <w:rFonts w:hint="eastAsia"/>
          <w:lang w:eastAsia="zh-CN"/>
        </w:rPr>
        <w:t>第三次筹备会议</w:t>
      </w:r>
      <w:r>
        <w:rPr>
          <w:rFonts w:hint="eastAsia"/>
        </w:rPr>
        <w:t>。</w:t>
      </w:r>
      <w:r>
        <w:rPr>
          <w:rFonts w:hint="eastAsia"/>
          <w:lang w:eastAsia="zh-CN"/>
        </w:rPr>
        <w:t>会议商定了研讨活动的具体事宜</w:t>
      </w:r>
      <w:r>
        <w:rPr>
          <w:rFonts w:hint="eastAsia"/>
        </w:rPr>
        <w:t>，</w:t>
      </w:r>
      <w:r>
        <w:rPr>
          <w:rFonts w:hint="eastAsia"/>
          <w:lang w:eastAsia="zh-CN"/>
        </w:rPr>
        <w:t>并作出了分工安排。会议一致通过了对第二届“工匠精神”课题成果的终审结果。</w:t>
      </w:r>
      <w:r>
        <w:rPr>
          <w:rFonts w:hint="eastAsia"/>
        </w:rPr>
        <w:t>会议纪要如下：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一、会议商定了研讨活动的几项具体事宜并作了分工。内容如下：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（一）活动流程：研讨活动整体分为两个阶段，第一阶段为领导致辞环节，分别由汕头市委市政府领导、广东中华职教社领导致辞，民建中央领导（</w:t>
      </w:r>
      <w:r>
        <w:rPr>
          <w:rFonts w:hint="eastAsia"/>
          <w:lang w:val="en-US" w:eastAsia="zh-CN"/>
        </w:rPr>
        <w:t>宋海）</w:t>
      </w:r>
      <w:r>
        <w:rPr>
          <w:rFonts w:hint="eastAsia"/>
          <w:lang w:eastAsia="zh-CN"/>
        </w:rPr>
        <w:t>讲话；讲话稿由各单位自行起草、各有侧重；第二阶段为经验分享环节，由部分优秀论文作者上台作演讲；第一阶段和第二阶段中间安排领导嘉宾与优秀论文获奖者合影，由汕头市委会聘请专业人员负责会场摄影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（二）参会人员：参加研讨活动的外来人员（非汕头）约</w:t>
      </w:r>
      <w:r>
        <w:rPr>
          <w:rFonts w:hint="eastAsia"/>
          <w:lang w:val="en-US" w:eastAsia="zh-CN"/>
        </w:rPr>
        <w:t>60人，会中央领导及工作人员约6人、广东中华职教社领导3-5人、优秀论文获奖者35人、优秀组织奖领奖代表7人，民建广东省委会参会领导由广东省委会自行决定，另由民建汕头市委会视会场座位情况安排在汕会员、专家、学者听会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日程安排：11月19日会中央及省委会工作人员抵达汕头，11月20日全体外来参会人员报到，11月21日上午举行研讨活动，11月21日下午安排参观一到两家体现汕头工匠精神的企业，11月22日全体参会人员离会。原则上会务组仅安排20、21日两天的食宿；如有续住需求，会务组可予协调政府定价，但需个人承担相关费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颁奖表彰：本次研讨活动共表彰优秀论文35篇，设优秀组织奖7个、特别贡献奖1个。活动现场先安排工作人员（或暨南大学领导）宣读表彰决定，再颁发优秀论文获奖证书和优秀组织奖、突出贡献奖奖牌。证书、奖牌的落款均署中国民主建国会中央委员会、暨南大学、中华职教社广东分社全称。奖牌由民建汕头市委会负责设计制作，证书由省委会负责设计制作并联系盖章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五）会议材料：要将35篇优秀论文装订成论文集，按16开版式印制200-300份，发参会人员人手一份，其余可作为民建组织存档或会内赠阅；编辑和印刷工作由民建汕头市委会负责。会务组要设计制作出席证，选用挂绳式双面印制。全部会议材料包括论文集、出席证、笔记本、签字笔，统一装袋发放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六）交通接送：除领导以外的外来参会人员不安排接送站，自行乘坐机场大巴、高铁站大巴往返酒店，由活动主办方做好通知工作。汕头市委会负责租用一辆50座大巴、一辆商务车用于活动期间的外出接送。省委会自行租车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七）食宿费用：所有通知、邀请函不强调包食宿，要求所有外来参会人员自行垫付酒店押金，结算时公职人员按公务差旅自行结算，其他无法报销的费用由会务组结算。20日上午报到的参会人员，可由会务组个别安排商务套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（八）组织架构：民建中央为主办单位，民建广东省委会、暨南大学、中华职教社广东分社、民建汕头市委会为承办单位，广东林科种苗有限公司、汕头市质监局等为协办单位。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九）演讲名单：研讨活动第二阶段安排8人上台演讲，每人时长约10分钟。在综合考虑论文可读性、内容多样性及地域分布等因素的基础上，初步选定侯淑琳、邵灿辉、叶肇恺、李强、王元石、蔡煜东、柏群、刘春生等8人为第一阶梯人选，张夏、江亮、李建华、杨钦等4人为第二阶梯人选，视缺席情况递补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（十）会议主持：会议由张皎部长主持；颁奖环节由赵维江教授主持，同时负责演讲环节的串场与点评。主持词要着重强调本次评选首次采用检测重复率的方式鼓励原创，突出本次评审工作的“工匠精神”。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二、会议一致通过了对第二届“工匠精神”课题成果的终审结果。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出席：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民建中央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　皎　民建中央宣传部部长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于国栋　民建中央宣传部调研员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暨南大学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庄汉文　暨南大学党委统战部部长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赵维江　民建广东省文化教育工作委员会主任，暨南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　　大学中文系教授、博导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傅  莹　暨南大学中文系教授、博导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陈海权　暨南大学管理学院教授、博导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民建广东省委会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许　玲　民建广东省委会副主委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鲁晓明　民建广东省委会副主委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欧壮喆  民建广东省委会秘书长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黄泽宏　民建广东省委文化教育工作委员会副主任，广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　　东林科种苗有限公司董事长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  嘉　民建广东省委会宣传处副处长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石  潇　民建广东省委会宣传处干部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民建汕头市委会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黄晓生　民建汕头市委会专职副主委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施佩敏　民建汕头市委会干部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记录人：何远航　李月寒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">
    <w:altName w:val="★懐流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★懐流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華康行書體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A41BD8"/>
    <w:multiLevelType w:val="singleLevel"/>
    <w:tmpl w:val="BCA41B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AC10B0E"/>
    <w:multiLevelType w:val="singleLevel"/>
    <w:tmpl w:val="FAC10B0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0000006"/>
    <w:multiLevelType w:val="singleLevel"/>
    <w:tmpl w:val="000000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E23D6"/>
    <w:rsid w:val="131D3E15"/>
    <w:rsid w:val="241102F1"/>
    <w:rsid w:val="2A161223"/>
    <w:rsid w:val="4B7B7C60"/>
    <w:rsid w:val="54EE23D6"/>
    <w:rsid w:val="68DC3032"/>
    <w:rsid w:val="79626178"/>
    <w:rsid w:val="7AA0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2018-02-24T01:09:00Z</dcterms:created>
  <dc:creator>汉宝宝</dc:creator>
  <cp:lastModifiedBy>Administrator</cp:lastModifiedBy>
  <cp:lastPrinted>2018-02-24T02:35:00Z</cp:lastPrinted>
  <dcterms:modified xsi:type="dcterms:W3CDTF">2018-02-24T07:12:08Z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